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E0CF1" w14:textId="6BD38E51" w:rsidR="007C3858" w:rsidRPr="009A6464" w:rsidRDefault="009A6464">
      <w:pPr>
        <w:rPr>
          <w:rFonts w:ascii="Calibri" w:eastAsia="黑体" w:hAnsi="Calibri" w:cs="Times New Roman"/>
          <w:sz w:val="32"/>
          <w:szCs w:val="32"/>
          <w14:ligatures w14:val="none"/>
        </w:rPr>
      </w:pPr>
      <w:r w:rsidRPr="009A6464">
        <w:rPr>
          <w:rFonts w:ascii="Calibri" w:eastAsia="黑体" w:hAnsi="Calibri" w:cs="Times New Roman" w:hint="eastAsia"/>
          <w:sz w:val="32"/>
          <w:szCs w:val="32"/>
          <w14:ligatures w14:val="none"/>
        </w:rPr>
        <w:t>附件</w:t>
      </w:r>
      <w:r w:rsidRPr="009A6464">
        <w:rPr>
          <w:rFonts w:ascii="Calibri" w:eastAsia="黑体" w:hAnsi="Calibri" w:cs="Times New Roman" w:hint="eastAsia"/>
          <w:sz w:val="32"/>
          <w:szCs w:val="32"/>
          <w14:ligatures w14:val="none"/>
        </w:rPr>
        <w:t>1</w:t>
      </w:r>
    </w:p>
    <w:p w14:paraId="5E408695" w14:textId="7C30CD1E" w:rsidR="009A6464" w:rsidRPr="009A6464" w:rsidRDefault="009A6464" w:rsidP="005E3D6A">
      <w:pPr>
        <w:jc w:val="center"/>
        <w:rPr>
          <w:rFonts w:ascii="Calibri" w:eastAsia="黑体" w:hAnsi="Calibri" w:cs="Times New Roman" w:hint="eastAsia"/>
          <w:sz w:val="32"/>
          <w:szCs w:val="32"/>
          <w14:ligatures w14:val="none"/>
        </w:rPr>
      </w:pPr>
      <w:r w:rsidRPr="009A6464">
        <w:rPr>
          <w:rFonts w:ascii="Calibri" w:eastAsia="黑体" w:hAnsi="Calibri" w:cs="Times New Roman" w:hint="eastAsia"/>
          <w:sz w:val="32"/>
          <w:szCs w:val="32"/>
          <w14:ligatures w14:val="none"/>
        </w:rPr>
        <w:t>2026</w:t>
      </w:r>
      <w:r w:rsidRPr="009A6464">
        <w:rPr>
          <w:rFonts w:ascii="Calibri" w:eastAsia="黑体" w:hAnsi="Calibri" w:cs="Times New Roman" w:hint="eastAsia"/>
          <w:sz w:val="32"/>
          <w:szCs w:val="32"/>
          <w14:ligatures w14:val="none"/>
        </w:rPr>
        <w:t>年度上海市教育科学研究一般项目指南</w:t>
      </w:r>
    </w:p>
    <w:tbl>
      <w:tblPr>
        <w:tblW w:w="8304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7487"/>
      </w:tblGrid>
      <w:tr w:rsidR="009A6464" w14:paraId="0FC7A8E0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8031E9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0772B0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高校学科专业动态调整机制研究 </w:t>
            </w:r>
          </w:p>
        </w:tc>
      </w:tr>
      <w:tr w:rsidR="009A6464" w:rsidRPr="005E3D6A" w14:paraId="4E513459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9A6522B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AB2FA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卓越工程师人才培养新范式与示范引领 </w:t>
            </w:r>
          </w:p>
        </w:tc>
      </w:tr>
      <w:tr w:rsidR="009A6464" w14:paraId="38DC7B47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522A3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3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29C7A3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高校开展大学生日常主题教育体系化研究 </w:t>
            </w:r>
          </w:p>
        </w:tc>
      </w:tr>
      <w:tr w:rsidR="009A6464" w14:paraId="6381C84E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721C12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4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ABD11B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上海高校学术创新能力影响因素及提升路径研究 </w:t>
            </w:r>
          </w:p>
        </w:tc>
      </w:tr>
      <w:tr w:rsidR="009A6464" w14:paraId="53F6CCDC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4EE4DD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5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52C6A4C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高校辅导员队伍培训体系研究 </w:t>
            </w:r>
          </w:p>
        </w:tc>
      </w:tr>
      <w:tr w:rsidR="009A6464" w14:paraId="3DB5E524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E1DF94D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6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EF1CF99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>上海民办高校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“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>双师型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”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教师产业适应性及其培育研究 </w:t>
            </w:r>
          </w:p>
        </w:tc>
      </w:tr>
      <w:tr w:rsidR="009A6464" w14:paraId="04BA8621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2477A3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7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00E6EB9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教育强国建设背景下高校财务治理优化研究 </w:t>
            </w:r>
          </w:p>
        </w:tc>
      </w:tr>
      <w:tr w:rsidR="009A6464" w14:paraId="2D2710EE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B8481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8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2B1E18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高校内部控制体系建设的操作指引研究 </w:t>
            </w:r>
          </w:p>
        </w:tc>
      </w:tr>
      <w:tr w:rsidR="009A6464" w14:paraId="72E7E0D3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C14D1B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9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B7EC0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上海高校推进立德树人工程的重点难点研究 </w:t>
            </w:r>
          </w:p>
        </w:tc>
      </w:tr>
      <w:tr w:rsidR="009A6464" w14:paraId="733C7545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A8F5A3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10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E4592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促进创新素养培养的高校学生学业评价体系研究 </w:t>
            </w:r>
          </w:p>
        </w:tc>
      </w:tr>
      <w:tr w:rsidR="009A6464" w14:paraId="13B37435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6BC4E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11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E6F022E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proofErr w:type="gramStart"/>
            <w:r>
              <w:rPr>
                <w:rFonts w:ascii="仿宋_GB2312" w:eastAsia="仿宋_GB2312" w:cs="仿宋_GB2312" w:hint="eastAsia"/>
                <w:sz w:val="23"/>
                <w:szCs w:val="23"/>
              </w:rPr>
              <w:t>数智时代</w:t>
            </w:r>
            <w:proofErr w:type="gramEnd"/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职业教育数字教材开发及应用研究 </w:t>
            </w:r>
          </w:p>
        </w:tc>
      </w:tr>
      <w:tr w:rsidR="009A6464" w14:paraId="27C99298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7DD265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12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FD4EED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>高职</w:t>
            </w:r>
            <w:proofErr w:type="gramStart"/>
            <w:r>
              <w:rPr>
                <w:rFonts w:ascii="仿宋_GB2312" w:eastAsia="仿宋_GB2312" w:cs="仿宋_GB2312" w:hint="eastAsia"/>
                <w:sz w:val="23"/>
                <w:szCs w:val="23"/>
              </w:rPr>
              <w:t>思政链</w:t>
            </w:r>
            <w:proofErr w:type="gramEnd"/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与产业链协同育人新机制研究 </w:t>
            </w:r>
          </w:p>
        </w:tc>
      </w:tr>
      <w:tr w:rsidR="009A6464" w14:paraId="04D9D50F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B09A968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13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B4F2F7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>AI</w:t>
            </w:r>
            <w:proofErr w:type="gramStart"/>
            <w:r>
              <w:rPr>
                <w:rFonts w:ascii="仿宋_GB2312" w:eastAsia="仿宋_GB2312" w:cs="仿宋_GB2312" w:hint="eastAsia"/>
                <w:sz w:val="23"/>
                <w:szCs w:val="23"/>
              </w:rPr>
              <w:t>赋能中职实训</w:t>
            </w:r>
            <w:proofErr w:type="gramEnd"/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课程技能培养的路径研究 </w:t>
            </w:r>
          </w:p>
        </w:tc>
      </w:tr>
      <w:tr w:rsidR="009A6464" w14:paraId="395695F3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CF666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14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997CD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中小学体育综合改革与治理机制研究 </w:t>
            </w:r>
          </w:p>
        </w:tc>
      </w:tr>
      <w:tr w:rsidR="009A6464" w14:paraId="28AF414F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C36950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15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ABFA53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初中随班就读学生生涯教育理论与实践研究 </w:t>
            </w:r>
          </w:p>
        </w:tc>
      </w:tr>
      <w:tr w:rsidR="009A6464" w14:paraId="54453C8A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69308A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16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C780ADA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构建基于绿色指标结果运用的区域教育质量保障体系 </w:t>
            </w:r>
          </w:p>
        </w:tc>
      </w:tr>
      <w:tr w:rsidR="009A6464" w14:paraId="298BC4E7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3050F9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lastRenderedPageBreak/>
              <w:t xml:space="preserve">17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B9F4E4C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“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>三类格局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”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>常态化背景下民办基础教育提</w:t>
            </w:r>
            <w:proofErr w:type="gramStart"/>
            <w:r>
              <w:rPr>
                <w:rFonts w:ascii="仿宋_GB2312" w:eastAsia="仿宋_GB2312" w:cs="仿宋_GB2312" w:hint="eastAsia"/>
                <w:sz w:val="23"/>
                <w:szCs w:val="23"/>
              </w:rPr>
              <w:t>质扩优</w:t>
            </w:r>
            <w:proofErr w:type="gramEnd"/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策略研究 </w:t>
            </w:r>
          </w:p>
        </w:tc>
      </w:tr>
      <w:tr w:rsidR="009A6464" w14:paraId="0BE724B7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20D9F2B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18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FA018E1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/>
                <w:sz w:val="23"/>
                <w:szCs w:val="23"/>
              </w:rPr>
              <w:t>“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>双新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”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>背景下中小学生创造性思维的</w:t>
            </w:r>
            <w:proofErr w:type="gramStart"/>
            <w:r>
              <w:rPr>
                <w:rFonts w:ascii="仿宋_GB2312" w:eastAsia="仿宋_GB2312" w:cs="仿宋_GB2312" w:hint="eastAsia"/>
                <w:sz w:val="23"/>
                <w:szCs w:val="23"/>
              </w:rPr>
              <w:t>校本化培养</w:t>
            </w:r>
            <w:proofErr w:type="gramEnd"/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机制研究 </w:t>
            </w:r>
          </w:p>
        </w:tc>
      </w:tr>
      <w:tr w:rsidR="009A6464" w14:paraId="017F27BC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784411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19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9D813D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新时代上海对各区政府教育督政工作机制研究 </w:t>
            </w:r>
          </w:p>
        </w:tc>
      </w:tr>
      <w:tr w:rsidR="009A6464" w14:paraId="5F343733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2402FC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20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932D0E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面向2035的上海老年教育创新发展路径研究 </w:t>
            </w:r>
          </w:p>
        </w:tc>
      </w:tr>
      <w:tr w:rsidR="009A6464" w14:paraId="710AD682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1369A85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21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D2D38E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积极老龄观视域下的养老服务人才队伍建设研究 </w:t>
            </w:r>
          </w:p>
        </w:tc>
      </w:tr>
      <w:tr w:rsidR="009A6464" w14:paraId="31DFF397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7D436F5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22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4D270D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终身学习视野下人智协同学习样态与内在机理研究 </w:t>
            </w:r>
          </w:p>
        </w:tc>
      </w:tr>
      <w:tr w:rsidR="009A6464" w14:paraId="65D8F6AA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90C7D6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23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84F50BC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>终身教育助力上海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“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>五个中心</w:t>
            </w:r>
            <w:r>
              <w:rPr>
                <w:rFonts w:ascii="仿宋_GB2312" w:eastAsia="仿宋_GB2312" w:cs="仿宋_GB2312"/>
                <w:sz w:val="23"/>
                <w:szCs w:val="23"/>
              </w:rPr>
              <w:t>”</w:t>
            </w: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建设的战略布局与实施策略研究 </w:t>
            </w:r>
          </w:p>
        </w:tc>
      </w:tr>
      <w:tr w:rsidR="009A6464" w14:paraId="665B6D1F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7BC4B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24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A360B46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人工智能赋能终身教育个性化资源配置机制研究  </w:t>
            </w:r>
          </w:p>
        </w:tc>
      </w:tr>
      <w:tr w:rsidR="009A6464" w14:paraId="762660CA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C761F4B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25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A9B62B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心理健康高风险学生特征及对策研究 </w:t>
            </w:r>
          </w:p>
        </w:tc>
      </w:tr>
      <w:tr w:rsidR="009A6464" w14:paraId="52687418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5C1793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26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01355A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教育强国背景下学校公共安全治理模式研究 </w:t>
            </w:r>
          </w:p>
        </w:tc>
      </w:tr>
      <w:tr w:rsidR="009A6464" w14:paraId="6286095E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C3A919E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27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F10628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上海市语言人才供需适配机制研究 </w:t>
            </w:r>
          </w:p>
        </w:tc>
      </w:tr>
      <w:tr w:rsidR="009A6464" w14:paraId="2FFF1B91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B223703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28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A53C16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拔尖创新人才早期培养体系建设研究 </w:t>
            </w:r>
          </w:p>
        </w:tc>
      </w:tr>
      <w:tr w:rsidR="009A6464" w14:paraId="6EAFDDB3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D16204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29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3AA1336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>教育科技人才一体改革背景下一线攻坚</w:t>
            </w:r>
            <w:proofErr w:type="gramStart"/>
            <w:r>
              <w:rPr>
                <w:rFonts w:ascii="仿宋_GB2312" w:eastAsia="仿宋_GB2312" w:cs="仿宋_GB2312" w:hint="eastAsia"/>
                <w:sz w:val="23"/>
                <w:szCs w:val="23"/>
              </w:rPr>
              <w:t>团队党建</w:t>
            </w:r>
            <w:proofErr w:type="gramEnd"/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引领作用研究 </w:t>
            </w:r>
          </w:p>
        </w:tc>
      </w:tr>
      <w:tr w:rsidR="009A6464" w14:paraId="2C04CC28" w14:textId="77777777" w:rsidTr="005E3D6A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817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D9091F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30 </w:t>
            </w:r>
          </w:p>
        </w:tc>
        <w:tc>
          <w:tcPr>
            <w:tcW w:w="7487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03FD616" w14:textId="77777777" w:rsidR="009A6464" w:rsidRDefault="009A6464" w:rsidP="00966C78">
            <w:pPr>
              <w:pStyle w:val="Default"/>
              <w:rPr>
                <w:rFonts w:ascii="仿宋_GB2312" w:eastAsia="仿宋_GB2312" w:cs="仿宋_GB2312" w:hint="eastAsia"/>
                <w:sz w:val="23"/>
                <w:szCs w:val="23"/>
              </w:rPr>
            </w:pPr>
            <w:r>
              <w:rPr>
                <w:rFonts w:ascii="仿宋_GB2312" w:eastAsia="仿宋_GB2312" w:cs="仿宋_GB2312" w:hint="eastAsia"/>
                <w:sz w:val="23"/>
                <w:szCs w:val="23"/>
              </w:rPr>
              <w:t xml:space="preserve">教育强国建设中语言育人的上海经验研究 </w:t>
            </w:r>
          </w:p>
        </w:tc>
      </w:tr>
    </w:tbl>
    <w:p w14:paraId="4EC2994E" w14:textId="77777777" w:rsidR="009A6464" w:rsidRPr="009A6464" w:rsidRDefault="009A6464">
      <w:pPr>
        <w:rPr>
          <w:rFonts w:hint="eastAsia"/>
        </w:rPr>
      </w:pPr>
    </w:p>
    <w:sectPr w:rsidR="009A6464" w:rsidRPr="009A6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 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64"/>
    <w:rsid w:val="005E3D6A"/>
    <w:rsid w:val="007C3858"/>
    <w:rsid w:val="00997F04"/>
    <w:rsid w:val="009A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A0A49"/>
  <w15:chartTrackingRefBased/>
  <w15:docId w15:val="{27742648-34D4-42AC-B269-D8E12474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464"/>
    <w:pPr>
      <w:widowControl w:val="0"/>
      <w:spacing w:after="160" w:line="278" w:lineRule="auto"/>
    </w:pPr>
    <w:rPr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9A64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4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46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46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46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46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46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46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646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646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64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646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646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A646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64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64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64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64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6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4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64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64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4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46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46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646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A6464"/>
    <w:rPr>
      <w:b/>
      <w:bCs/>
      <w:smallCaps/>
      <w:color w:val="365F91" w:themeColor="accent1" w:themeShade="BF"/>
      <w:spacing w:val="5"/>
    </w:rPr>
  </w:style>
  <w:style w:type="paragraph" w:customStyle="1" w:styleId="Default">
    <w:name w:val="Default"/>
    <w:rsid w:val="009A6464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2025-05-22T02:51:00Z</dcterms:created>
  <dcterms:modified xsi:type="dcterms:W3CDTF">2025-05-22T02:55:00Z</dcterms:modified>
</cp:coreProperties>
</file>